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2023级同等学力申请博士学位人员课程表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tbl>
      <w:tblPr>
        <w:tblStyle w:val="2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0"/>
        <w:gridCol w:w="1239"/>
        <w:gridCol w:w="1275"/>
        <w:gridCol w:w="1335"/>
        <w:gridCol w:w="1365"/>
        <w:gridCol w:w="1335"/>
        <w:gridCol w:w="133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348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学时</w:t>
            </w: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时间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10：00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仲景学术思想研究精要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高级医用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4-1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名家学术与临床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3-9周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课程说明：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1.开设《高级医用英语》一门基础课程；《名家学术与临床》、《仲景学术思想研究精要》两门专业基础课程；一门临床研究专业课程（根据不同专业方向学习相关课程）。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临床研究专业课程包括《中医内科学临床研究》、《中医外科学临床研究》、《中医骨伤科学临床研究》、《中医妇科学临床研究》、《中医儿科学临床研究》、《针灸推拿学临床研究》、《中西医结合临床研究》七门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3.临床研究专业课程每门课均由两位及以上教师授课，上课时间可能随时有所调整，未确定具体时间的课程不在课程表中显示，由各个专业课程负责人采取提前群内告知形式进行。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4.请结合教学周历查看课程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授课日期。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任课教师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16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4170" w:type="dxa"/>
            <w:vAlign w:val="center"/>
          </w:tcPr>
          <w:p>
            <w:pPr>
              <w:ind w:hanging="108" w:firstLineChars="0"/>
              <w:jc w:val="center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任课教师</w:t>
            </w:r>
            <w:r>
              <w:rPr>
                <w:rFonts w:hint="eastAsia" w:ascii="宋体" w:hAnsi="宋体"/>
                <w:b/>
                <w:color w:val="000000"/>
                <w:sz w:val="18"/>
                <w:lang w:val="en-US" w:eastAsia="zh-CN"/>
              </w:rPr>
              <w:t>/开课院部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高级医用英语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周义斌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仲景学术思想研究精要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王振亮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名家学术与临床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中医内科学临床研究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中医外科学临床研究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中医骨伤科学临床研究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骨伤学院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中医妇科学临床研究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中医儿科学临床研究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儿科医学院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针灸推拿学临床研究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针灸推拿学院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WVlMTVkMjY5MzNiY2ZhYTBjZDA4MGEyNWNmNjUifQ=="/>
  </w:docVars>
  <w:rsids>
    <w:rsidRoot w:val="3D28757B"/>
    <w:rsid w:val="1B005B88"/>
    <w:rsid w:val="295A1DDB"/>
    <w:rsid w:val="2EE54BFF"/>
    <w:rsid w:val="3D2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2023-09-14T09:08:00Z</dcterms:created>
  <dc:creator>糖半甜</dc:creator>
  <cp:lastModifiedBy>糖半甜</cp:lastModifiedBy>
  <dcterms:modified xsi:type="dcterms:W3CDTF">2023-09-15T03:21:26Z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F646D52BE1FE44F68CA8F26624100EEB_11</vt:lpwstr>
  </property>
</Properties>
</file>